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0F81" w14:textId="77777777" w:rsidR="00E607B0" w:rsidRDefault="00E607B0">
      <w:pPr>
        <w:jc w:val="center"/>
        <w:rPr>
          <w:rFonts w:eastAsia="Calibri"/>
          <w:b/>
          <w:szCs w:val="24"/>
          <w:lang w:eastAsia="lt-LT"/>
        </w:rPr>
      </w:pPr>
      <w:bookmarkStart w:id="0" w:name="_GoBack"/>
      <w:bookmarkEnd w:id="0"/>
    </w:p>
    <w:p w14:paraId="7A5E8DFE" w14:textId="77777777" w:rsidR="00E607B0" w:rsidRDefault="00E607B0">
      <w:pPr>
        <w:jc w:val="center"/>
        <w:rPr>
          <w:rFonts w:eastAsia="Calibri"/>
          <w:b/>
          <w:szCs w:val="24"/>
          <w:lang w:eastAsia="lt-LT"/>
        </w:rPr>
      </w:pPr>
    </w:p>
    <w:p w14:paraId="26789E09" w14:textId="2F42E127" w:rsidR="00E607B0" w:rsidRDefault="00E607B0" w:rsidP="00E607B0">
      <w:pPr>
        <w:ind w:left="5184"/>
        <w:jc w:val="center"/>
        <w:rPr>
          <w:rFonts w:eastAsia="Calibri"/>
          <w:szCs w:val="24"/>
          <w:lang w:eastAsia="lt-LT"/>
        </w:rPr>
      </w:pPr>
      <w:r>
        <w:rPr>
          <w:rFonts w:eastAsia="Calibri"/>
          <w:szCs w:val="24"/>
          <w:lang w:eastAsia="lt-LT"/>
        </w:rPr>
        <w:t xml:space="preserve">                                         PATVIRTINTA             </w:t>
      </w:r>
    </w:p>
    <w:p w14:paraId="7C537EA8" w14:textId="09496172" w:rsidR="00E607B0" w:rsidRDefault="00E607B0" w:rsidP="00E607B0">
      <w:pPr>
        <w:ind w:left="3888" w:firstLine="1296"/>
        <w:jc w:val="center"/>
        <w:rPr>
          <w:rFonts w:eastAsia="Calibri"/>
          <w:szCs w:val="24"/>
          <w:lang w:eastAsia="lt-LT"/>
        </w:rPr>
      </w:pPr>
      <w:r>
        <w:rPr>
          <w:rFonts w:eastAsia="Calibri"/>
          <w:szCs w:val="24"/>
          <w:lang w:eastAsia="lt-LT"/>
        </w:rPr>
        <w:t xml:space="preserve">                                                                              Radviliškio rajono savivaldybės tarybos</w:t>
      </w:r>
    </w:p>
    <w:p w14:paraId="2A2EE67F" w14:textId="77777777" w:rsidR="00E607B0" w:rsidRDefault="00E607B0" w:rsidP="00E607B0">
      <w:pPr>
        <w:ind w:left="3888" w:firstLine="1296"/>
        <w:jc w:val="right"/>
        <w:rPr>
          <w:rFonts w:eastAsia="Calibri"/>
          <w:szCs w:val="24"/>
          <w:lang w:eastAsia="lt-LT"/>
        </w:rPr>
      </w:pPr>
      <w:r>
        <w:rPr>
          <w:rFonts w:eastAsia="Calibri"/>
          <w:szCs w:val="24"/>
          <w:lang w:eastAsia="lt-LT"/>
        </w:rPr>
        <w:t>2018 m. gegužės 17 d. sprendimu Nr. T-893</w:t>
      </w:r>
    </w:p>
    <w:p w14:paraId="187A4A14" w14:textId="77777777" w:rsidR="00E607B0" w:rsidRDefault="00E607B0">
      <w:pPr>
        <w:jc w:val="center"/>
        <w:rPr>
          <w:rFonts w:eastAsia="Calibri"/>
          <w:b/>
          <w:szCs w:val="24"/>
          <w:lang w:eastAsia="lt-LT"/>
        </w:rPr>
      </w:pPr>
    </w:p>
    <w:p w14:paraId="05F26891" w14:textId="25534F74" w:rsidR="0098632F" w:rsidRDefault="00E3742A">
      <w:pPr>
        <w:jc w:val="center"/>
        <w:rPr>
          <w:rFonts w:eastAsia="Calibri"/>
          <w:b/>
          <w:szCs w:val="24"/>
          <w:lang w:eastAsia="lt-LT"/>
        </w:rPr>
      </w:pPr>
      <w:r>
        <w:rPr>
          <w:rFonts w:eastAsia="Calibri"/>
          <w:b/>
          <w:szCs w:val="24"/>
          <w:lang w:eastAsia="lt-LT"/>
        </w:rPr>
        <w:t xml:space="preserve">RADVILIŠKIO RAJONO SAVIVALDYBĖS 2018–2020 METŲ NEFORMALIOJO SUAUGUSIŲJŲ ŠVIETIMO IR TĘSTINIO MOKYMOSI VEIKSMŲ PLANAS </w:t>
      </w:r>
    </w:p>
    <w:p w14:paraId="05F26892" w14:textId="77777777" w:rsidR="0098632F" w:rsidRDefault="0098632F">
      <w:pPr>
        <w:spacing w:line="259" w:lineRule="auto"/>
        <w:jc w:val="center"/>
        <w:rPr>
          <w:rFonts w:eastAsia="Calibri"/>
          <w:szCs w:val="24"/>
          <w:lang w:eastAsia="lt-LT"/>
        </w:rPr>
      </w:pPr>
    </w:p>
    <w:p w14:paraId="05F26893" w14:textId="77777777" w:rsidR="0098632F" w:rsidRDefault="0098632F">
      <w:pPr>
        <w:rPr>
          <w:sz w:val="14"/>
          <w:szCs w:val="1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42"/>
        <w:gridCol w:w="2977"/>
        <w:gridCol w:w="1984"/>
        <w:gridCol w:w="851"/>
        <w:gridCol w:w="992"/>
        <w:gridCol w:w="850"/>
        <w:gridCol w:w="1276"/>
      </w:tblGrid>
      <w:tr w:rsidR="0098632F" w14:paraId="05F26896" w14:textId="77777777" w:rsidTr="00E3742A">
        <w:tc>
          <w:tcPr>
            <w:tcW w:w="14992" w:type="dxa"/>
            <w:gridSpan w:val="8"/>
            <w:hideMark/>
          </w:tcPr>
          <w:p w14:paraId="05F26894" w14:textId="77777777" w:rsidR="0098632F" w:rsidRDefault="00E3742A">
            <w:pPr>
              <w:ind w:firstLine="851"/>
              <w:jc w:val="both"/>
              <w:rPr>
                <w:b/>
                <w:szCs w:val="24"/>
                <w:lang w:eastAsia="lt-LT"/>
              </w:rPr>
            </w:pPr>
            <w:r>
              <w:rPr>
                <w:b/>
                <w:szCs w:val="24"/>
                <w:lang w:eastAsia="lt-LT"/>
              </w:rPr>
              <w:t>1.</w:t>
            </w:r>
            <w:r>
              <w:rPr>
                <w:b/>
                <w:szCs w:val="24"/>
                <w:lang w:eastAsia="lt-LT"/>
              </w:rPr>
              <w:tab/>
              <w:t>UŽDAVINYS: SUKURTI DARNIAI VEIKIANČIĄ MOKYMOSI VISĄ GYVENIMĄ SISTEMĄ RADVILIŠKIO RAJONO SAVIVALDYBĖJE.</w:t>
            </w:r>
          </w:p>
          <w:p w14:paraId="05F26895" w14:textId="77777777" w:rsidR="0098632F" w:rsidRDefault="0098632F">
            <w:pPr>
              <w:ind w:firstLine="851"/>
              <w:jc w:val="both"/>
              <w:rPr>
                <w:b/>
                <w:szCs w:val="24"/>
                <w:lang w:eastAsia="lt-LT"/>
              </w:rPr>
            </w:pPr>
          </w:p>
        </w:tc>
      </w:tr>
      <w:tr w:rsidR="0098632F" w14:paraId="05F26898" w14:textId="77777777" w:rsidTr="00E3742A">
        <w:trPr>
          <w:trHeight w:val="421"/>
        </w:trPr>
        <w:tc>
          <w:tcPr>
            <w:tcW w:w="14992" w:type="dxa"/>
            <w:gridSpan w:val="8"/>
          </w:tcPr>
          <w:p w14:paraId="05F26897" w14:textId="77777777" w:rsidR="0098632F" w:rsidRDefault="00E3742A">
            <w:pPr>
              <w:spacing w:line="256" w:lineRule="auto"/>
              <w:jc w:val="both"/>
              <w:rPr>
                <w:b/>
                <w:szCs w:val="24"/>
                <w:lang w:eastAsia="lt-LT"/>
              </w:rPr>
            </w:pPr>
            <w:r>
              <w:rPr>
                <w:b/>
                <w:szCs w:val="24"/>
                <w:lang w:eastAsia="lt-LT"/>
              </w:rPr>
              <w:t>1.1. priemonė.</w:t>
            </w:r>
            <w:r>
              <w:rPr>
                <w:szCs w:val="24"/>
                <w:lang w:eastAsia="lt-LT"/>
              </w:rPr>
              <w:t xml:space="preserve"> </w:t>
            </w:r>
            <w:r>
              <w:rPr>
                <w:b/>
                <w:szCs w:val="24"/>
                <w:lang w:eastAsia="lt-LT"/>
              </w:rPr>
              <w:t>Organizuoti Radviliškio rajono savivaldybės neformaliojo suaugusiųjų švietimo ir tęstinio mokymosi teikėjų susitikimus – diskusijas.</w:t>
            </w:r>
            <w:r>
              <w:rPr>
                <w:szCs w:val="24"/>
                <w:lang w:eastAsia="lt-LT"/>
              </w:rPr>
              <w:t xml:space="preserve">  </w:t>
            </w:r>
          </w:p>
        </w:tc>
      </w:tr>
      <w:tr w:rsidR="0098632F" w14:paraId="05F2689E" w14:textId="77777777" w:rsidTr="00E3742A">
        <w:trPr>
          <w:trHeight w:val="421"/>
        </w:trPr>
        <w:tc>
          <w:tcPr>
            <w:tcW w:w="5920" w:type="dxa"/>
            <w:vMerge w:val="restart"/>
            <w:hideMark/>
          </w:tcPr>
          <w:p w14:paraId="05F26899" w14:textId="77777777" w:rsidR="0098632F" w:rsidRDefault="00E3742A">
            <w:pPr>
              <w:spacing w:line="256" w:lineRule="auto"/>
              <w:jc w:val="center"/>
              <w:rPr>
                <w:b/>
                <w:szCs w:val="24"/>
                <w:lang w:eastAsia="lt-LT"/>
              </w:rPr>
            </w:pPr>
            <w:r>
              <w:rPr>
                <w:b/>
                <w:szCs w:val="24"/>
                <w:lang w:eastAsia="lt-LT"/>
              </w:rPr>
              <w:t>Laukiami rezultatai</w:t>
            </w:r>
          </w:p>
        </w:tc>
        <w:tc>
          <w:tcPr>
            <w:tcW w:w="3119" w:type="dxa"/>
            <w:gridSpan w:val="2"/>
            <w:vMerge w:val="restart"/>
            <w:hideMark/>
          </w:tcPr>
          <w:p w14:paraId="05F2689A" w14:textId="77777777" w:rsidR="0098632F" w:rsidRDefault="00E3742A">
            <w:pPr>
              <w:spacing w:line="256" w:lineRule="auto"/>
              <w:jc w:val="center"/>
              <w:rPr>
                <w:b/>
                <w:szCs w:val="24"/>
                <w:lang w:eastAsia="lt-LT"/>
              </w:rPr>
            </w:pPr>
            <w:r>
              <w:rPr>
                <w:b/>
                <w:szCs w:val="24"/>
                <w:lang w:eastAsia="lt-LT"/>
              </w:rPr>
              <w:t>Atsakingi vykdytojai</w:t>
            </w:r>
          </w:p>
        </w:tc>
        <w:tc>
          <w:tcPr>
            <w:tcW w:w="1984" w:type="dxa"/>
            <w:vMerge w:val="restart"/>
            <w:hideMark/>
          </w:tcPr>
          <w:p w14:paraId="05F2689B" w14:textId="77777777" w:rsidR="0098632F" w:rsidRDefault="00E3742A">
            <w:pPr>
              <w:spacing w:line="256" w:lineRule="auto"/>
              <w:jc w:val="center"/>
              <w:rPr>
                <w:b/>
                <w:szCs w:val="24"/>
                <w:lang w:eastAsia="lt-LT"/>
              </w:rPr>
            </w:pPr>
            <w:r>
              <w:rPr>
                <w:b/>
                <w:szCs w:val="24"/>
                <w:lang w:eastAsia="lt-LT"/>
              </w:rPr>
              <w:t>Vykdymo laikas</w:t>
            </w:r>
          </w:p>
        </w:tc>
        <w:tc>
          <w:tcPr>
            <w:tcW w:w="2693" w:type="dxa"/>
            <w:gridSpan w:val="3"/>
          </w:tcPr>
          <w:p w14:paraId="05F2689C" w14:textId="77777777" w:rsidR="0098632F" w:rsidRDefault="00E3742A">
            <w:pPr>
              <w:spacing w:line="256" w:lineRule="auto"/>
              <w:jc w:val="center"/>
              <w:rPr>
                <w:b/>
                <w:szCs w:val="24"/>
                <w:lang w:eastAsia="lt-LT"/>
              </w:rPr>
            </w:pPr>
            <w:r>
              <w:rPr>
                <w:b/>
                <w:szCs w:val="24"/>
                <w:lang w:eastAsia="lt-LT"/>
              </w:rPr>
              <w:t>Lėšos</w:t>
            </w:r>
          </w:p>
        </w:tc>
        <w:tc>
          <w:tcPr>
            <w:tcW w:w="1276" w:type="dxa"/>
            <w:vMerge w:val="restart"/>
          </w:tcPr>
          <w:p w14:paraId="05F2689D" w14:textId="77777777" w:rsidR="0098632F" w:rsidRDefault="00E3742A">
            <w:pPr>
              <w:spacing w:line="256" w:lineRule="auto"/>
              <w:jc w:val="center"/>
              <w:rPr>
                <w:b/>
                <w:szCs w:val="24"/>
                <w:lang w:eastAsia="lt-LT"/>
              </w:rPr>
            </w:pPr>
            <w:r>
              <w:rPr>
                <w:b/>
                <w:szCs w:val="24"/>
                <w:lang w:eastAsia="lt-LT"/>
              </w:rPr>
              <w:t>Finansavimo šaltinis</w:t>
            </w:r>
          </w:p>
        </w:tc>
      </w:tr>
      <w:tr w:rsidR="0098632F" w14:paraId="05F268A6" w14:textId="77777777" w:rsidTr="00E3742A">
        <w:trPr>
          <w:trHeight w:val="462"/>
        </w:trPr>
        <w:tc>
          <w:tcPr>
            <w:tcW w:w="5920" w:type="dxa"/>
            <w:vMerge/>
          </w:tcPr>
          <w:p w14:paraId="05F2689F" w14:textId="77777777" w:rsidR="0098632F" w:rsidRDefault="0098632F">
            <w:pPr>
              <w:spacing w:line="256" w:lineRule="auto"/>
              <w:jc w:val="center"/>
              <w:rPr>
                <w:b/>
                <w:szCs w:val="24"/>
                <w:lang w:eastAsia="lt-LT"/>
              </w:rPr>
            </w:pPr>
          </w:p>
        </w:tc>
        <w:tc>
          <w:tcPr>
            <w:tcW w:w="3119" w:type="dxa"/>
            <w:gridSpan w:val="2"/>
            <w:vMerge/>
          </w:tcPr>
          <w:p w14:paraId="05F268A0" w14:textId="77777777" w:rsidR="0098632F" w:rsidRDefault="0098632F">
            <w:pPr>
              <w:spacing w:line="256" w:lineRule="auto"/>
              <w:jc w:val="center"/>
              <w:rPr>
                <w:b/>
                <w:szCs w:val="24"/>
                <w:lang w:eastAsia="lt-LT"/>
              </w:rPr>
            </w:pPr>
          </w:p>
        </w:tc>
        <w:tc>
          <w:tcPr>
            <w:tcW w:w="1984" w:type="dxa"/>
            <w:vMerge/>
          </w:tcPr>
          <w:p w14:paraId="05F268A1" w14:textId="77777777" w:rsidR="0098632F" w:rsidRDefault="0098632F">
            <w:pPr>
              <w:spacing w:line="256" w:lineRule="auto"/>
              <w:jc w:val="center"/>
              <w:rPr>
                <w:b/>
                <w:szCs w:val="24"/>
                <w:lang w:eastAsia="lt-LT"/>
              </w:rPr>
            </w:pPr>
          </w:p>
        </w:tc>
        <w:tc>
          <w:tcPr>
            <w:tcW w:w="851" w:type="dxa"/>
          </w:tcPr>
          <w:p w14:paraId="05F268A2" w14:textId="77777777" w:rsidR="0098632F" w:rsidRDefault="00E3742A">
            <w:pPr>
              <w:spacing w:line="256" w:lineRule="auto"/>
              <w:jc w:val="center"/>
              <w:rPr>
                <w:b/>
                <w:szCs w:val="24"/>
                <w:lang w:eastAsia="lt-LT"/>
              </w:rPr>
            </w:pPr>
            <w:r>
              <w:rPr>
                <w:b/>
                <w:szCs w:val="24"/>
                <w:lang w:eastAsia="lt-LT"/>
              </w:rPr>
              <w:t>2018</w:t>
            </w:r>
          </w:p>
        </w:tc>
        <w:tc>
          <w:tcPr>
            <w:tcW w:w="992" w:type="dxa"/>
          </w:tcPr>
          <w:p w14:paraId="05F268A3" w14:textId="77777777" w:rsidR="0098632F" w:rsidRDefault="00E3742A">
            <w:pPr>
              <w:spacing w:line="256" w:lineRule="auto"/>
              <w:jc w:val="center"/>
              <w:rPr>
                <w:b/>
                <w:szCs w:val="24"/>
                <w:lang w:eastAsia="lt-LT"/>
              </w:rPr>
            </w:pPr>
            <w:r>
              <w:rPr>
                <w:b/>
                <w:szCs w:val="24"/>
                <w:lang w:eastAsia="lt-LT"/>
              </w:rPr>
              <w:t>2019</w:t>
            </w:r>
          </w:p>
        </w:tc>
        <w:tc>
          <w:tcPr>
            <w:tcW w:w="850" w:type="dxa"/>
          </w:tcPr>
          <w:p w14:paraId="05F268A4" w14:textId="77777777" w:rsidR="0098632F" w:rsidRDefault="00E3742A">
            <w:pPr>
              <w:spacing w:line="256" w:lineRule="auto"/>
              <w:jc w:val="center"/>
              <w:rPr>
                <w:b/>
                <w:szCs w:val="24"/>
                <w:lang w:eastAsia="lt-LT"/>
              </w:rPr>
            </w:pPr>
            <w:r>
              <w:rPr>
                <w:b/>
                <w:szCs w:val="24"/>
                <w:lang w:eastAsia="lt-LT"/>
              </w:rPr>
              <w:t>2020</w:t>
            </w:r>
          </w:p>
        </w:tc>
        <w:tc>
          <w:tcPr>
            <w:tcW w:w="1276" w:type="dxa"/>
            <w:vMerge/>
          </w:tcPr>
          <w:p w14:paraId="05F268A5" w14:textId="77777777" w:rsidR="0098632F" w:rsidRDefault="0098632F">
            <w:pPr>
              <w:spacing w:line="256" w:lineRule="auto"/>
              <w:jc w:val="center"/>
              <w:rPr>
                <w:b/>
                <w:szCs w:val="24"/>
                <w:lang w:eastAsia="lt-LT"/>
              </w:rPr>
            </w:pPr>
          </w:p>
        </w:tc>
      </w:tr>
      <w:tr w:rsidR="0098632F" w14:paraId="05F268AF" w14:textId="77777777" w:rsidTr="00E3742A">
        <w:tc>
          <w:tcPr>
            <w:tcW w:w="5920" w:type="dxa"/>
          </w:tcPr>
          <w:p w14:paraId="05F268A7" w14:textId="77777777" w:rsidR="0098632F" w:rsidRDefault="00E3742A">
            <w:pPr>
              <w:spacing w:line="256" w:lineRule="auto"/>
              <w:jc w:val="both"/>
              <w:rPr>
                <w:szCs w:val="24"/>
                <w:lang w:eastAsia="lt-LT"/>
              </w:rPr>
            </w:pPr>
            <w:r>
              <w:rPr>
                <w:szCs w:val="24"/>
                <w:lang w:eastAsia="lt-LT"/>
              </w:rPr>
              <w:t>Organizuojami pasitarimai, diskusijos gerins bendradarbiavimą tarp teikėjų. Susitikimuose bus derinamos ir planuojamos vykdyti veiklos, vykdoma 2018–2020 metų veiksmų plano stebėsena, analizuojami neformaliojo suaugusiųjų švietimo poreikio tyrimo rezultatai, kurie bus susisteminami ir naudojami veiklų planavimui.</w:t>
            </w:r>
          </w:p>
          <w:p w14:paraId="05F268A8" w14:textId="77777777" w:rsidR="0098632F" w:rsidRDefault="0098632F">
            <w:pPr>
              <w:spacing w:line="256" w:lineRule="auto"/>
              <w:jc w:val="both"/>
              <w:rPr>
                <w:szCs w:val="24"/>
                <w:lang w:eastAsia="lt-LT"/>
              </w:rPr>
            </w:pPr>
          </w:p>
        </w:tc>
        <w:tc>
          <w:tcPr>
            <w:tcW w:w="3119" w:type="dxa"/>
            <w:gridSpan w:val="2"/>
          </w:tcPr>
          <w:p w14:paraId="05F268A9" w14:textId="77777777" w:rsidR="0098632F" w:rsidRDefault="0098632F">
            <w:pPr>
              <w:rPr>
                <w:szCs w:val="24"/>
                <w:lang w:eastAsia="lt-LT"/>
              </w:rPr>
            </w:pPr>
          </w:p>
        </w:tc>
        <w:tc>
          <w:tcPr>
            <w:tcW w:w="1984" w:type="dxa"/>
          </w:tcPr>
          <w:p w14:paraId="05F268AA" w14:textId="77777777" w:rsidR="0098632F" w:rsidRDefault="00E3742A">
            <w:pPr>
              <w:spacing w:line="256" w:lineRule="auto"/>
              <w:rPr>
                <w:szCs w:val="24"/>
                <w:lang w:eastAsia="lt-LT"/>
              </w:rPr>
            </w:pPr>
            <w:r>
              <w:rPr>
                <w:szCs w:val="24"/>
                <w:lang w:eastAsia="lt-LT"/>
              </w:rPr>
              <w:t xml:space="preserve">kartą per ketvirtį </w:t>
            </w:r>
          </w:p>
        </w:tc>
        <w:tc>
          <w:tcPr>
            <w:tcW w:w="851" w:type="dxa"/>
          </w:tcPr>
          <w:p w14:paraId="05F268AB" w14:textId="77777777" w:rsidR="0098632F" w:rsidRDefault="00E3742A">
            <w:pPr>
              <w:spacing w:line="256" w:lineRule="auto"/>
              <w:jc w:val="center"/>
              <w:rPr>
                <w:szCs w:val="24"/>
                <w:lang w:eastAsia="lt-LT"/>
              </w:rPr>
            </w:pPr>
            <w:r>
              <w:rPr>
                <w:szCs w:val="24"/>
                <w:lang w:eastAsia="lt-LT"/>
              </w:rPr>
              <w:t>-</w:t>
            </w:r>
          </w:p>
        </w:tc>
        <w:tc>
          <w:tcPr>
            <w:tcW w:w="992" w:type="dxa"/>
          </w:tcPr>
          <w:p w14:paraId="05F268AC" w14:textId="77777777" w:rsidR="0098632F" w:rsidRDefault="00E3742A">
            <w:pPr>
              <w:spacing w:line="256" w:lineRule="auto"/>
              <w:jc w:val="center"/>
              <w:rPr>
                <w:szCs w:val="24"/>
                <w:lang w:eastAsia="lt-LT"/>
              </w:rPr>
            </w:pPr>
            <w:r>
              <w:rPr>
                <w:szCs w:val="24"/>
                <w:lang w:eastAsia="lt-LT"/>
              </w:rPr>
              <w:t>-</w:t>
            </w:r>
          </w:p>
        </w:tc>
        <w:tc>
          <w:tcPr>
            <w:tcW w:w="850" w:type="dxa"/>
          </w:tcPr>
          <w:p w14:paraId="05F268AD" w14:textId="77777777" w:rsidR="0098632F" w:rsidRDefault="00E3742A">
            <w:pPr>
              <w:spacing w:line="256" w:lineRule="auto"/>
              <w:jc w:val="center"/>
              <w:rPr>
                <w:szCs w:val="24"/>
                <w:lang w:eastAsia="lt-LT"/>
              </w:rPr>
            </w:pPr>
            <w:r>
              <w:rPr>
                <w:szCs w:val="24"/>
                <w:lang w:eastAsia="lt-LT"/>
              </w:rPr>
              <w:t>-</w:t>
            </w:r>
          </w:p>
        </w:tc>
        <w:tc>
          <w:tcPr>
            <w:tcW w:w="1276" w:type="dxa"/>
          </w:tcPr>
          <w:p w14:paraId="05F268AE" w14:textId="77777777" w:rsidR="0098632F" w:rsidRDefault="00E3742A">
            <w:pPr>
              <w:spacing w:line="256" w:lineRule="auto"/>
              <w:jc w:val="center"/>
              <w:rPr>
                <w:szCs w:val="24"/>
                <w:lang w:eastAsia="lt-LT"/>
              </w:rPr>
            </w:pPr>
            <w:r>
              <w:rPr>
                <w:szCs w:val="24"/>
                <w:lang w:eastAsia="lt-LT"/>
              </w:rPr>
              <w:t>-</w:t>
            </w:r>
          </w:p>
        </w:tc>
      </w:tr>
      <w:tr w:rsidR="0098632F" w14:paraId="05F268B1" w14:textId="77777777" w:rsidTr="00E3742A">
        <w:tc>
          <w:tcPr>
            <w:tcW w:w="14992" w:type="dxa"/>
            <w:gridSpan w:val="8"/>
          </w:tcPr>
          <w:p w14:paraId="05F268B0" w14:textId="77777777" w:rsidR="0098632F" w:rsidRDefault="00E3742A">
            <w:pPr>
              <w:spacing w:line="256" w:lineRule="auto"/>
              <w:rPr>
                <w:b/>
                <w:szCs w:val="24"/>
                <w:lang w:eastAsia="lt-LT"/>
              </w:rPr>
            </w:pPr>
            <w:r>
              <w:rPr>
                <w:b/>
                <w:szCs w:val="24"/>
                <w:lang w:eastAsia="lt-LT"/>
              </w:rPr>
              <w:t>1.2. priemonė. Atlikti neformalųjį suaugusiųjų švietimą ir tęstinį mokymą teikiančių institucijų teikiamų paslaugų analizę.</w:t>
            </w:r>
          </w:p>
        </w:tc>
      </w:tr>
      <w:tr w:rsidR="0098632F" w14:paraId="05F268BC" w14:textId="77777777" w:rsidTr="00E3742A">
        <w:tc>
          <w:tcPr>
            <w:tcW w:w="5920" w:type="dxa"/>
          </w:tcPr>
          <w:p w14:paraId="05F268B2" w14:textId="77777777" w:rsidR="0098632F" w:rsidRDefault="00E3742A">
            <w:pPr>
              <w:spacing w:line="256" w:lineRule="auto"/>
              <w:jc w:val="both"/>
              <w:rPr>
                <w:szCs w:val="24"/>
                <w:lang w:eastAsia="lt-LT"/>
              </w:rPr>
            </w:pPr>
            <w:r>
              <w:rPr>
                <w:szCs w:val="24"/>
                <w:lang w:eastAsia="lt-LT"/>
              </w:rPr>
              <w:t>Atlikta analizė leis įvertinti realią situaciją apie neformaliojo suaugusiųjų švietimo teikiamų programų įvairovę Radviliškio rajone. Rezultatai bus pristatomi rajono gyventojams.</w:t>
            </w:r>
          </w:p>
          <w:p w14:paraId="05F268B3" w14:textId="77777777" w:rsidR="0098632F" w:rsidRDefault="0098632F">
            <w:pPr>
              <w:spacing w:line="256" w:lineRule="auto"/>
              <w:rPr>
                <w:szCs w:val="24"/>
                <w:lang w:eastAsia="lt-LT"/>
              </w:rPr>
            </w:pPr>
          </w:p>
        </w:tc>
        <w:tc>
          <w:tcPr>
            <w:tcW w:w="3119" w:type="dxa"/>
            <w:gridSpan w:val="2"/>
          </w:tcPr>
          <w:p w14:paraId="05F268B4" w14:textId="77777777" w:rsidR="0098632F" w:rsidRDefault="00E3742A">
            <w:pPr>
              <w:spacing w:line="256" w:lineRule="auto"/>
              <w:rPr>
                <w:szCs w:val="24"/>
                <w:lang w:eastAsia="lt-LT"/>
              </w:rPr>
            </w:pPr>
            <w:r>
              <w:rPr>
                <w:szCs w:val="24"/>
                <w:lang w:eastAsia="lt-LT"/>
              </w:rPr>
              <w:t>Radviliškio rajono neformaliojo suaugusiųjų švietimo ir tęstinio mokymosi koordinacinė grupė</w:t>
            </w:r>
          </w:p>
          <w:p w14:paraId="05F268B5" w14:textId="77777777" w:rsidR="0098632F" w:rsidRDefault="0098632F">
            <w:pPr>
              <w:spacing w:line="256" w:lineRule="auto"/>
              <w:rPr>
                <w:szCs w:val="24"/>
                <w:lang w:eastAsia="lt-LT"/>
              </w:rPr>
            </w:pPr>
          </w:p>
        </w:tc>
        <w:tc>
          <w:tcPr>
            <w:tcW w:w="1984" w:type="dxa"/>
          </w:tcPr>
          <w:p w14:paraId="05F268B6" w14:textId="77777777" w:rsidR="0098632F" w:rsidRDefault="00E3742A">
            <w:pPr>
              <w:jc w:val="both"/>
              <w:rPr>
                <w:szCs w:val="24"/>
                <w:lang w:eastAsia="lt-LT"/>
              </w:rPr>
            </w:pPr>
            <w:r>
              <w:rPr>
                <w:szCs w:val="24"/>
                <w:lang w:eastAsia="lt-LT"/>
              </w:rPr>
              <w:t>2018 m. III ketv.</w:t>
            </w:r>
          </w:p>
          <w:p w14:paraId="05F268B7" w14:textId="77777777" w:rsidR="0098632F" w:rsidRDefault="0098632F">
            <w:pPr>
              <w:spacing w:line="256" w:lineRule="auto"/>
              <w:rPr>
                <w:szCs w:val="24"/>
                <w:lang w:eastAsia="lt-LT"/>
              </w:rPr>
            </w:pPr>
          </w:p>
        </w:tc>
        <w:tc>
          <w:tcPr>
            <w:tcW w:w="851" w:type="dxa"/>
          </w:tcPr>
          <w:p w14:paraId="05F268B8" w14:textId="77777777" w:rsidR="0098632F" w:rsidRDefault="00E3742A">
            <w:pPr>
              <w:spacing w:line="256" w:lineRule="auto"/>
              <w:jc w:val="center"/>
              <w:rPr>
                <w:szCs w:val="24"/>
                <w:lang w:eastAsia="lt-LT"/>
              </w:rPr>
            </w:pPr>
            <w:r>
              <w:rPr>
                <w:szCs w:val="24"/>
                <w:lang w:eastAsia="lt-LT"/>
              </w:rPr>
              <w:t>-</w:t>
            </w:r>
          </w:p>
        </w:tc>
        <w:tc>
          <w:tcPr>
            <w:tcW w:w="992" w:type="dxa"/>
          </w:tcPr>
          <w:p w14:paraId="05F268B9" w14:textId="77777777" w:rsidR="0098632F" w:rsidRDefault="00E3742A">
            <w:pPr>
              <w:spacing w:line="256" w:lineRule="auto"/>
              <w:jc w:val="center"/>
              <w:rPr>
                <w:szCs w:val="24"/>
                <w:lang w:eastAsia="lt-LT"/>
              </w:rPr>
            </w:pPr>
            <w:r>
              <w:rPr>
                <w:szCs w:val="24"/>
                <w:lang w:eastAsia="lt-LT"/>
              </w:rPr>
              <w:t>-</w:t>
            </w:r>
          </w:p>
        </w:tc>
        <w:tc>
          <w:tcPr>
            <w:tcW w:w="850" w:type="dxa"/>
          </w:tcPr>
          <w:p w14:paraId="05F268BA" w14:textId="77777777" w:rsidR="0098632F" w:rsidRDefault="00E3742A">
            <w:pPr>
              <w:spacing w:line="256" w:lineRule="auto"/>
              <w:jc w:val="center"/>
              <w:rPr>
                <w:szCs w:val="24"/>
                <w:lang w:eastAsia="lt-LT"/>
              </w:rPr>
            </w:pPr>
            <w:r>
              <w:rPr>
                <w:szCs w:val="24"/>
                <w:lang w:eastAsia="lt-LT"/>
              </w:rPr>
              <w:t>-</w:t>
            </w:r>
          </w:p>
        </w:tc>
        <w:tc>
          <w:tcPr>
            <w:tcW w:w="1276" w:type="dxa"/>
          </w:tcPr>
          <w:p w14:paraId="05F268BB" w14:textId="77777777" w:rsidR="0098632F" w:rsidRDefault="00E3742A">
            <w:pPr>
              <w:spacing w:line="256" w:lineRule="auto"/>
              <w:jc w:val="center"/>
              <w:rPr>
                <w:szCs w:val="24"/>
                <w:lang w:eastAsia="lt-LT"/>
              </w:rPr>
            </w:pPr>
            <w:r>
              <w:rPr>
                <w:szCs w:val="24"/>
                <w:lang w:eastAsia="lt-LT"/>
              </w:rPr>
              <w:t>-</w:t>
            </w:r>
          </w:p>
        </w:tc>
      </w:tr>
      <w:tr w:rsidR="0098632F" w14:paraId="05F268BE" w14:textId="77777777" w:rsidTr="00E3742A">
        <w:tc>
          <w:tcPr>
            <w:tcW w:w="14992" w:type="dxa"/>
            <w:gridSpan w:val="8"/>
          </w:tcPr>
          <w:p w14:paraId="05F268BD" w14:textId="77777777" w:rsidR="0098632F" w:rsidRDefault="00E3742A">
            <w:pPr>
              <w:jc w:val="both"/>
              <w:rPr>
                <w:b/>
                <w:szCs w:val="24"/>
                <w:lang w:eastAsia="lt-LT"/>
              </w:rPr>
            </w:pPr>
            <w:r>
              <w:rPr>
                <w:b/>
                <w:szCs w:val="24"/>
                <w:lang w:eastAsia="lt-LT"/>
              </w:rPr>
              <w:t>1.3. priemonė. Atlikti Radviliškio rajono suaugusiųjų gyventojų mokymosi visą gyvenimą poreikio tyrimą.</w:t>
            </w:r>
          </w:p>
        </w:tc>
      </w:tr>
      <w:tr w:rsidR="0098632F" w14:paraId="05F268C8" w14:textId="77777777" w:rsidTr="00E3742A">
        <w:tc>
          <w:tcPr>
            <w:tcW w:w="5920" w:type="dxa"/>
          </w:tcPr>
          <w:p w14:paraId="05F268BF" w14:textId="77777777" w:rsidR="0098632F" w:rsidRDefault="00E3742A">
            <w:pPr>
              <w:jc w:val="both"/>
              <w:rPr>
                <w:szCs w:val="24"/>
                <w:lang w:eastAsia="lt-LT"/>
              </w:rPr>
            </w:pPr>
            <w:r>
              <w:rPr>
                <w:szCs w:val="24"/>
                <w:lang w:eastAsia="lt-LT"/>
              </w:rPr>
              <w:t xml:space="preserve">Tyrimo rezultatai leis planuoti ir įgyvendinti neformaliojo suaugusiųjų švietimo programas, tenkinančias asmens ir </w:t>
            </w:r>
            <w:r>
              <w:rPr>
                <w:szCs w:val="24"/>
                <w:lang w:eastAsia="lt-LT"/>
              </w:rPr>
              <w:lastRenderedPageBreak/>
              <w:t xml:space="preserve">visuomenės interesų poreikius. </w:t>
            </w:r>
          </w:p>
          <w:p w14:paraId="05F268C0" w14:textId="77777777" w:rsidR="0098632F" w:rsidRDefault="0098632F">
            <w:pPr>
              <w:jc w:val="both"/>
              <w:rPr>
                <w:b/>
                <w:szCs w:val="24"/>
                <w:lang w:eastAsia="lt-LT"/>
              </w:rPr>
            </w:pPr>
          </w:p>
        </w:tc>
        <w:tc>
          <w:tcPr>
            <w:tcW w:w="3119" w:type="dxa"/>
            <w:gridSpan w:val="2"/>
          </w:tcPr>
          <w:p w14:paraId="05F268C1" w14:textId="77777777" w:rsidR="0098632F" w:rsidRDefault="00E3742A">
            <w:pPr>
              <w:jc w:val="both"/>
              <w:rPr>
                <w:szCs w:val="24"/>
                <w:lang w:eastAsia="lt-LT"/>
              </w:rPr>
            </w:pPr>
            <w:r>
              <w:rPr>
                <w:szCs w:val="24"/>
                <w:lang w:eastAsia="lt-LT"/>
              </w:rPr>
              <w:lastRenderedPageBreak/>
              <w:t xml:space="preserve">Radviliškio rajono neformaliojo suaugusiųjų </w:t>
            </w:r>
            <w:r>
              <w:rPr>
                <w:szCs w:val="24"/>
                <w:lang w:eastAsia="lt-LT"/>
              </w:rPr>
              <w:lastRenderedPageBreak/>
              <w:t>švietimo ir tęstinio mokymosi koordinacinė grupė</w:t>
            </w:r>
          </w:p>
          <w:p w14:paraId="05F268C2" w14:textId="77777777" w:rsidR="0098632F" w:rsidRDefault="0098632F">
            <w:pPr>
              <w:jc w:val="both"/>
              <w:rPr>
                <w:b/>
                <w:szCs w:val="24"/>
                <w:lang w:eastAsia="lt-LT"/>
              </w:rPr>
            </w:pPr>
          </w:p>
        </w:tc>
        <w:tc>
          <w:tcPr>
            <w:tcW w:w="1984" w:type="dxa"/>
          </w:tcPr>
          <w:p w14:paraId="05F268C3" w14:textId="77777777" w:rsidR="0098632F" w:rsidRDefault="00E3742A">
            <w:pPr>
              <w:jc w:val="both"/>
              <w:rPr>
                <w:szCs w:val="24"/>
                <w:lang w:eastAsia="lt-LT"/>
              </w:rPr>
            </w:pPr>
            <w:r>
              <w:rPr>
                <w:szCs w:val="24"/>
                <w:lang w:eastAsia="lt-LT"/>
              </w:rPr>
              <w:lastRenderedPageBreak/>
              <w:t>2018 m. III ketv.</w:t>
            </w:r>
          </w:p>
        </w:tc>
        <w:tc>
          <w:tcPr>
            <w:tcW w:w="851" w:type="dxa"/>
          </w:tcPr>
          <w:p w14:paraId="05F268C4" w14:textId="77777777" w:rsidR="0098632F" w:rsidRDefault="00E3742A">
            <w:pPr>
              <w:jc w:val="center"/>
              <w:rPr>
                <w:szCs w:val="24"/>
                <w:lang w:eastAsia="lt-LT"/>
              </w:rPr>
            </w:pPr>
            <w:r>
              <w:rPr>
                <w:szCs w:val="24"/>
                <w:lang w:eastAsia="lt-LT"/>
              </w:rPr>
              <w:t>-</w:t>
            </w:r>
          </w:p>
        </w:tc>
        <w:tc>
          <w:tcPr>
            <w:tcW w:w="992" w:type="dxa"/>
          </w:tcPr>
          <w:p w14:paraId="05F268C5" w14:textId="77777777" w:rsidR="0098632F" w:rsidRDefault="00E3742A">
            <w:pPr>
              <w:jc w:val="center"/>
              <w:rPr>
                <w:b/>
                <w:szCs w:val="24"/>
                <w:lang w:eastAsia="lt-LT"/>
              </w:rPr>
            </w:pPr>
            <w:r>
              <w:rPr>
                <w:b/>
                <w:szCs w:val="24"/>
                <w:lang w:eastAsia="lt-LT"/>
              </w:rPr>
              <w:t>-</w:t>
            </w:r>
          </w:p>
        </w:tc>
        <w:tc>
          <w:tcPr>
            <w:tcW w:w="850" w:type="dxa"/>
          </w:tcPr>
          <w:p w14:paraId="05F268C6" w14:textId="77777777" w:rsidR="0098632F" w:rsidRDefault="00E3742A">
            <w:pPr>
              <w:jc w:val="center"/>
              <w:rPr>
                <w:szCs w:val="24"/>
                <w:lang w:eastAsia="lt-LT"/>
              </w:rPr>
            </w:pPr>
            <w:r>
              <w:rPr>
                <w:szCs w:val="24"/>
                <w:lang w:eastAsia="lt-LT"/>
              </w:rPr>
              <w:t>-</w:t>
            </w:r>
          </w:p>
        </w:tc>
        <w:tc>
          <w:tcPr>
            <w:tcW w:w="1276" w:type="dxa"/>
          </w:tcPr>
          <w:p w14:paraId="05F268C7" w14:textId="77777777" w:rsidR="0098632F" w:rsidRDefault="00E3742A">
            <w:pPr>
              <w:jc w:val="center"/>
              <w:rPr>
                <w:b/>
                <w:szCs w:val="24"/>
                <w:lang w:eastAsia="lt-LT"/>
              </w:rPr>
            </w:pPr>
            <w:r>
              <w:rPr>
                <w:b/>
                <w:szCs w:val="24"/>
                <w:lang w:eastAsia="lt-LT"/>
              </w:rPr>
              <w:t>-</w:t>
            </w:r>
          </w:p>
        </w:tc>
      </w:tr>
      <w:tr w:rsidR="0098632F" w14:paraId="05F268CB" w14:textId="77777777" w:rsidTr="00E3742A">
        <w:tc>
          <w:tcPr>
            <w:tcW w:w="14992" w:type="dxa"/>
            <w:gridSpan w:val="8"/>
            <w:hideMark/>
          </w:tcPr>
          <w:p w14:paraId="05F268C9" w14:textId="77777777" w:rsidR="0098632F" w:rsidRDefault="00E3742A">
            <w:pPr>
              <w:ind w:firstLine="851"/>
              <w:jc w:val="both"/>
              <w:rPr>
                <w:b/>
                <w:szCs w:val="24"/>
                <w:lang w:eastAsia="lt-LT"/>
              </w:rPr>
            </w:pPr>
            <w:r>
              <w:rPr>
                <w:b/>
                <w:szCs w:val="24"/>
                <w:lang w:eastAsia="lt-LT"/>
              </w:rPr>
              <w:t>2. UŽDAVINYS: ĮGYVENDINTI NEFORMALIOJO SUAUGUSIŲJŲ ŠVIETIMO IR TĘSTINIO MOKYMOSI PROGRAMAS, PADEDANČIAS KIEKVIENAM ASMENIUI TOBULINTI BENDRĄSIAS KOMPETENCIJAS.</w:t>
            </w:r>
          </w:p>
          <w:p w14:paraId="05F268CA" w14:textId="77777777" w:rsidR="0098632F" w:rsidRDefault="0098632F">
            <w:pPr>
              <w:ind w:firstLine="851"/>
              <w:jc w:val="both"/>
              <w:rPr>
                <w:b/>
                <w:szCs w:val="24"/>
                <w:lang w:eastAsia="lt-LT"/>
              </w:rPr>
            </w:pPr>
          </w:p>
        </w:tc>
      </w:tr>
      <w:tr w:rsidR="0098632F" w14:paraId="05F268CD" w14:textId="77777777" w:rsidTr="00E3742A">
        <w:tc>
          <w:tcPr>
            <w:tcW w:w="14992" w:type="dxa"/>
            <w:gridSpan w:val="8"/>
          </w:tcPr>
          <w:p w14:paraId="05F268CC" w14:textId="77777777" w:rsidR="0098632F" w:rsidRDefault="00E3742A">
            <w:pPr>
              <w:jc w:val="both"/>
              <w:rPr>
                <w:b/>
                <w:szCs w:val="24"/>
                <w:lang w:eastAsia="lt-LT"/>
              </w:rPr>
            </w:pPr>
            <w:r>
              <w:rPr>
                <w:b/>
                <w:szCs w:val="24"/>
                <w:lang w:eastAsia="lt-LT"/>
              </w:rPr>
              <w:t>2.1. priemonė.</w:t>
            </w:r>
            <w:r>
              <w:rPr>
                <w:szCs w:val="24"/>
                <w:lang w:eastAsia="lt-LT"/>
              </w:rPr>
              <w:t xml:space="preserve"> </w:t>
            </w:r>
            <w:r>
              <w:rPr>
                <w:b/>
                <w:szCs w:val="24"/>
                <w:lang w:eastAsia="lt-LT"/>
              </w:rPr>
              <w:t>Dalyvauti Lietuvos Respublikos švietimo ir mokslo ministerijos neformaliojo suaugusiųjų švietimo ir tęstinio mokymosi programų rengimo ir įgyvendinimo konkurse.</w:t>
            </w:r>
          </w:p>
        </w:tc>
      </w:tr>
      <w:tr w:rsidR="0098632F" w14:paraId="05F268D3" w14:textId="77777777" w:rsidTr="00E3742A">
        <w:trPr>
          <w:trHeight w:val="184"/>
        </w:trPr>
        <w:tc>
          <w:tcPr>
            <w:tcW w:w="6062" w:type="dxa"/>
            <w:gridSpan w:val="2"/>
            <w:vMerge w:val="restart"/>
            <w:hideMark/>
          </w:tcPr>
          <w:p w14:paraId="05F268CE" w14:textId="77777777" w:rsidR="0098632F" w:rsidRDefault="00E3742A">
            <w:pPr>
              <w:spacing w:line="256" w:lineRule="auto"/>
              <w:jc w:val="center"/>
              <w:rPr>
                <w:b/>
                <w:szCs w:val="24"/>
                <w:lang w:eastAsia="lt-LT"/>
              </w:rPr>
            </w:pPr>
            <w:r>
              <w:rPr>
                <w:b/>
                <w:szCs w:val="24"/>
                <w:lang w:eastAsia="lt-LT"/>
              </w:rPr>
              <w:t>Laukiami rezultatai</w:t>
            </w:r>
          </w:p>
        </w:tc>
        <w:tc>
          <w:tcPr>
            <w:tcW w:w="2977" w:type="dxa"/>
            <w:vMerge w:val="restart"/>
            <w:hideMark/>
          </w:tcPr>
          <w:p w14:paraId="05F268CF" w14:textId="77777777" w:rsidR="0098632F" w:rsidRDefault="00E3742A">
            <w:pPr>
              <w:spacing w:line="256" w:lineRule="auto"/>
              <w:jc w:val="center"/>
              <w:rPr>
                <w:b/>
                <w:szCs w:val="24"/>
                <w:lang w:eastAsia="lt-LT"/>
              </w:rPr>
            </w:pPr>
            <w:r>
              <w:rPr>
                <w:b/>
                <w:szCs w:val="24"/>
                <w:lang w:eastAsia="lt-LT"/>
              </w:rPr>
              <w:t>Atsakingi vykdytojai</w:t>
            </w:r>
          </w:p>
        </w:tc>
        <w:tc>
          <w:tcPr>
            <w:tcW w:w="1984" w:type="dxa"/>
            <w:vMerge w:val="restart"/>
            <w:hideMark/>
          </w:tcPr>
          <w:p w14:paraId="05F268D0" w14:textId="77777777" w:rsidR="0098632F" w:rsidRDefault="00E3742A">
            <w:pPr>
              <w:spacing w:line="256" w:lineRule="auto"/>
              <w:jc w:val="center"/>
              <w:rPr>
                <w:b/>
                <w:szCs w:val="24"/>
                <w:lang w:eastAsia="lt-LT"/>
              </w:rPr>
            </w:pPr>
            <w:r>
              <w:rPr>
                <w:b/>
                <w:szCs w:val="24"/>
                <w:lang w:eastAsia="lt-LT"/>
              </w:rPr>
              <w:t>Vykdymo laikas</w:t>
            </w:r>
          </w:p>
        </w:tc>
        <w:tc>
          <w:tcPr>
            <w:tcW w:w="2693" w:type="dxa"/>
            <w:gridSpan w:val="3"/>
            <w:hideMark/>
          </w:tcPr>
          <w:p w14:paraId="05F268D1" w14:textId="77777777" w:rsidR="0098632F" w:rsidRDefault="00E3742A">
            <w:pPr>
              <w:spacing w:line="256" w:lineRule="auto"/>
              <w:jc w:val="center"/>
              <w:rPr>
                <w:b/>
                <w:szCs w:val="24"/>
                <w:lang w:eastAsia="lt-LT"/>
              </w:rPr>
            </w:pPr>
            <w:r>
              <w:rPr>
                <w:b/>
                <w:szCs w:val="24"/>
                <w:lang w:eastAsia="lt-LT"/>
              </w:rPr>
              <w:t>Lėšos</w:t>
            </w:r>
          </w:p>
        </w:tc>
        <w:tc>
          <w:tcPr>
            <w:tcW w:w="1276" w:type="dxa"/>
          </w:tcPr>
          <w:p w14:paraId="05F268D2" w14:textId="77777777" w:rsidR="0098632F" w:rsidRDefault="00E3742A">
            <w:pPr>
              <w:spacing w:line="256" w:lineRule="auto"/>
              <w:jc w:val="center"/>
              <w:rPr>
                <w:b/>
                <w:szCs w:val="24"/>
                <w:lang w:eastAsia="lt-LT"/>
              </w:rPr>
            </w:pPr>
            <w:r>
              <w:rPr>
                <w:b/>
                <w:szCs w:val="24"/>
                <w:lang w:eastAsia="lt-LT"/>
              </w:rPr>
              <w:t>Finansavimo šaltinis</w:t>
            </w:r>
          </w:p>
        </w:tc>
      </w:tr>
      <w:tr w:rsidR="0098632F" w14:paraId="05F268DB" w14:textId="77777777" w:rsidTr="00E3742A">
        <w:trPr>
          <w:trHeight w:val="312"/>
        </w:trPr>
        <w:tc>
          <w:tcPr>
            <w:tcW w:w="6062" w:type="dxa"/>
            <w:gridSpan w:val="2"/>
            <w:vMerge/>
          </w:tcPr>
          <w:p w14:paraId="05F268D4" w14:textId="77777777" w:rsidR="0098632F" w:rsidRDefault="0098632F">
            <w:pPr>
              <w:spacing w:line="256" w:lineRule="auto"/>
              <w:jc w:val="center"/>
              <w:rPr>
                <w:b/>
                <w:szCs w:val="24"/>
                <w:lang w:eastAsia="lt-LT"/>
              </w:rPr>
            </w:pPr>
          </w:p>
        </w:tc>
        <w:tc>
          <w:tcPr>
            <w:tcW w:w="2977" w:type="dxa"/>
            <w:vMerge/>
          </w:tcPr>
          <w:p w14:paraId="05F268D5" w14:textId="77777777" w:rsidR="0098632F" w:rsidRDefault="0098632F">
            <w:pPr>
              <w:spacing w:line="256" w:lineRule="auto"/>
              <w:jc w:val="center"/>
              <w:rPr>
                <w:b/>
                <w:szCs w:val="24"/>
                <w:lang w:eastAsia="lt-LT"/>
              </w:rPr>
            </w:pPr>
          </w:p>
        </w:tc>
        <w:tc>
          <w:tcPr>
            <w:tcW w:w="1984" w:type="dxa"/>
            <w:vMerge/>
          </w:tcPr>
          <w:p w14:paraId="05F268D6" w14:textId="77777777" w:rsidR="0098632F" w:rsidRDefault="0098632F">
            <w:pPr>
              <w:spacing w:line="256" w:lineRule="auto"/>
              <w:jc w:val="center"/>
              <w:rPr>
                <w:b/>
                <w:szCs w:val="24"/>
                <w:lang w:eastAsia="lt-LT"/>
              </w:rPr>
            </w:pPr>
          </w:p>
        </w:tc>
        <w:tc>
          <w:tcPr>
            <w:tcW w:w="851" w:type="dxa"/>
          </w:tcPr>
          <w:p w14:paraId="05F268D7" w14:textId="77777777" w:rsidR="0098632F" w:rsidRDefault="00E3742A">
            <w:pPr>
              <w:spacing w:line="256" w:lineRule="auto"/>
              <w:jc w:val="center"/>
              <w:rPr>
                <w:b/>
                <w:szCs w:val="24"/>
                <w:lang w:eastAsia="lt-LT"/>
              </w:rPr>
            </w:pPr>
            <w:r>
              <w:rPr>
                <w:b/>
                <w:szCs w:val="24"/>
                <w:lang w:eastAsia="lt-LT"/>
              </w:rPr>
              <w:t>2018</w:t>
            </w:r>
          </w:p>
        </w:tc>
        <w:tc>
          <w:tcPr>
            <w:tcW w:w="992" w:type="dxa"/>
          </w:tcPr>
          <w:p w14:paraId="05F268D8" w14:textId="77777777" w:rsidR="0098632F" w:rsidRDefault="00E3742A">
            <w:pPr>
              <w:spacing w:line="256" w:lineRule="auto"/>
              <w:jc w:val="center"/>
              <w:rPr>
                <w:b/>
                <w:szCs w:val="24"/>
                <w:lang w:eastAsia="lt-LT"/>
              </w:rPr>
            </w:pPr>
            <w:r>
              <w:rPr>
                <w:b/>
                <w:szCs w:val="24"/>
                <w:lang w:eastAsia="lt-LT"/>
              </w:rPr>
              <w:t>2019</w:t>
            </w:r>
          </w:p>
        </w:tc>
        <w:tc>
          <w:tcPr>
            <w:tcW w:w="850" w:type="dxa"/>
          </w:tcPr>
          <w:p w14:paraId="05F268D9" w14:textId="77777777" w:rsidR="0098632F" w:rsidRDefault="00E3742A">
            <w:pPr>
              <w:spacing w:line="256" w:lineRule="auto"/>
              <w:jc w:val="center"/>
              <w:rPr>
                <w:b/>
                <w:szCs w:val="24"/>
                <w:lang w:eastAsia="lt-LT"/>
              </w:rPr>
            </w:pPr>
            <w:r>
              <w:rPr>
                <w:b/>
                <w:szCs w:val="24"/>
                <w:lang w:eastAsia="lt-LT"/>
              </w:rPr>
              <w:t>2020</w:t>
            </w:r>
          </w:p>
        </w:tc>
        <w:tc>
          <w:tcPr>
            <w:tcW w:w="1276" w:type="dxa"/>
          </w:tcPr>
          <w:p w14:paraId="05F268DA" w14:textId="77777777" w:rsidR="0098632F" w:rsidRDefault="0098632F">
            <w:pPr>
              <w:spacing w:line="256" w:lineRule="auto"/>
              <w:jc w:val="center"/>
              <w:rPr>
                <w:b/>
                <w:szCs w:val="24"/>
                <w:lang w:eastAsia="lt-LT"/>
              </w:rPr>
            </w:pPr>
          </w:p>
        </w:tc>
      </w:tr>
      <w:tr w:rsidR="0098632F" w14:paraId="05F268E4" w14:textId="77777777" w:rsidTr="00E3742A">
        <w:tc>
          <w:tcPr>
            <w:tcW w:w="6062" w:type="dxa"/>
            <w:gridSpan w:val="2"/>
          </w:tcPr>
          <w:p w14:paraId="05F268DC" w14:textId="77777777" w:rsidR="0098632F" w:rsidRDefault="00E3742A">
            <w:pPr>
              <w:spacing w:line="256" w:lineRule="auto"/>
              <w:rPr>
                <w:szCs w:val="24"/>
                <w:lang w:eastAsia="lt-LT"/>
              </w:rPr>
            </w:pPr>
            <w:r>
              <w:rPr>
                <w:szCs w:val="24"/>
                <w:lang w:eastAsia="lt-LT"/>
              </w:rPr>
              <w:t>Parengtos neformaliojo suaugusiųjų švietimo ir tęstinio mokymosi programos plėtos neformaliojo suaugusiųjų švietimo įvairovę rajone.</w:t>
            </w:r>
          </w:p>
          <w:p w14:paraId="05F268DD" w14:textId="77777777" w:rsidR="0098632F" w:rsidRDefault="0098632F">
            <w:pPr>
              <w:spacing w:line="256" w:lineRule="auto"/>
              <w:rPr>
                <w:szCs w:val="24"/>
                <w:lang w:eastAsia="lt-LT"/>
              </w:rPr>
            </w:pPr>
          </w:p>
        </w:tc>
        <w:tc>
          <w:tcPr>
            <w:tcW w:w="2977" w:type="dxa"/>
          </w:tcPr>
          <w:p w14:paraId="05F268DE" w14:textId="77777777" w:rsidR="0098632F" w:rsidRDefault="00E3742A">
            <w:pPr>
              <w:spacing w:line="256" w:lineRule="auto"/>
              <w:rPr>
                <w:szCs w:val="24"/>
                <w:lang w:eastAsia="lt-LT"/>
              </w:rPr>
            </w:pPr>
            <w:r>
              <w:rPr>
                <w:szCs w:val="24"/>
                <w:lang w:eastAsia="lt-LT"/>
              </w:rPr>
              <w:t>Neformalųjį suaugusiųjų švietimą ir tęstinį mokymą vykdančiosios institucijos.</w:t>
            </w:r>
          </w:p>
        </w:tc>
        <w:tc>
          <w:tcPr>
            <w:tcW w:w="1984" w:type="dxa"/>
          </w:tcPr>
          <w:p w14:paraId="05F268DF" w14:textId="77777777" w:rsidR="0098632F" w:rsidRDefault="00E3742A">
            <w:pPr>
              <w:spacing w:line="256" w:lineRule="auto"/>
              <w:rPr>
                <w:szCs w:val="24"/>
                <w:lang w:eastAsia="lt-LT"/>
              </w:rPr>
            </w:pPr>
            <w:r>
              <w:rPr>
                <w:szCs w:val="24"/>
                <w:lang w:eastAsia="lt-LT"/>
              </w:rPr>
              <w:t>2018 m., 2019 m., 2020 m.</w:t>
            </w:r>
          </w:p>
        </w:tc>
        <w:tc>
          <w:tcPr>
            <w:tcW w:w="851" w:type="dxa"/>
          </w:tcPr>
          <w:p w14:paraId="05F268E0" w14:textId="77777777" w:rsidR="0098632F" w:rsidRDefault="00E3742A">
            <w:pPr>
              <w:spacing w:line="256" w:lineRule="auto"/>
              <w:jc w:val="center"/>
              <w:rPr>
                <w:szCs w:val="24"/>
                <w:lang w:eastAsia="lt-LT"/>
              </w:rPr>
            </w:pPr>
            <w:r>
              <w:rPr>
                <w:szCs w:val="24"/>
                <w:lang w:eastAsia="lt-LT"/>
              </w:rPr>
              <w:t>3000</w:t>
            </w:r>
          </w:p>
        </w:tc>
        <w:tc>
          <w:tcPr>
            <w:tcW w:w="992" w:type="dxa"/>
          </w:tcPr>
          <w:p w14:paraId="05F268E1" w14:textId="77777777" w:rsidR="0098632F" w:rsidRDefault="00E3742A">
            <w:pPr>
              <w:spacing w:line="256" w:lineRule="auto"/>
              <w:jc w:val="center"/>
              <w:rPr>
                <w:szCs w:val="24"/>
                <w:lang w:eastAsia="lt-LT"/>
              </w:rPr>
            </w:pPr>
            <w:r>
              <w:rPr>
                <w:szCs w:val="24"/>
                <w:lang w:eastAsia="lt-LT"/>
              </w:rPr>
              <w:t>3000</w:t>
            </w:r>
          </w:p>
        </w:tc>
        <w:tc>
          <w:tcPr>
            <w:tcW w:w="850" w:type="dxa"/>
          </w:tcPr>
          <w:p w14:paraId="05F268E2" w14:textId="77777777" w:rsidR="0098632F" w:rsidRDefault="00E3742A">
            <w:pPr>
              <w:spacing w:line="256" w:lineRule="auto"/>
              <w:jc w:val="center"/>
              <w:rPr>
                <w:szCs w:val="24"/>
                <w:lang w:eastAsia="lt-LT"/>
              </w:rPr>
            </w:pPr>
            <w:r>
              <w:rPr>
                <w:szCs w:val="24"/>
                <w:lang w:eastAsia="lt-LT"/>
              </w:rPr>
              <w:t>3000</w:t>
            </w:r>
          </w:p>
        </w:tc>
        <w:tc>
          <w:tcPr>
            <w:tcW w:w="1276" w:type="dxa"/>
          </w:tcPr>
          <w:p w14:paraId="05F268E3" w14:textId="77777777" w:rsidR="0098632F" w:rsidRDefault="00E3742A">
            <w:pPr>
              <w:spacing w:line="256" w:lineRule="auto"/>
              <w:rPr>
                <w:szCs w:val="24"/>
                <w:lang w:eastAsia="lt-LT"/>
              </w:rPr>
            </w:pPr>
            <w:r>
              <w:rPr>
                <w:szCs w:val="24"/>
                <w:lang w:eastAsia="lt-LT"/>
              </w:rPr>
              <w:t>Valstybės biudžeto lėšos</w:t>
            </w:r>
          </w:p>
        </w:tc>
      </w:tr>
      <w:tr w:rsidR="0098632F" w14:paraId="05F268E6" w14:textId="77777777" w:rsidTr="00E3742A">
        <w:tc>
          <w:tcPr>
            <w:tcW w:w="14992" w:type="dxa"/>
            <w:gridSpan w:val="8"/>
          </w:tcPr>
          <w:p w14:paraId="05F268E5" w14:textId="77777777" w:rsidR="0098632F" w:rsidRDefault="00E3742A">
            <w:pPr>
              <w:spacing w:line="256" w:lineRule="auto"/>
              <w:rPr>
                <w:b/>
                <w:szCs w:val="24"/>
                <w:lang w:eastAsia="lt-LT"/>
              </w:rPr>
            </w:pPr>
            <w:r>
              <w:rPr>
                <w:b/>
                <w:szCs w:val="24"/>
                <w:lang w:eastAsia="lt-LT"/>
              </w:rPr>
              <w:t>2.2. priemonė. Teikti neformaliojo suaugusiųjų švietimo programas Radviliškio rajono savivaldybės neformaliojo suaugusiųjų švietimo programų finansavimo konkursui.</w:t>
            </w:r>
          </w:p>
        </w:tc>
      </w:tr>
      <w:tr w:rsidR="0098632F" w14:paraId="05F268EF" w14:textId="77777777" w:rsidTr="00E3742A">
        <w:tc>
          <w:tcPr>
            <w:tcW w:w="6062" w:type="dxa"/>
            <w:gridSpan w:val="2"/>
          </w:tcPr>
          <w:p w14:paraId="05F268E7" w14:textId="77777777" w:rsidR="0098632F" w:rsidRDefault="00E3742A">
            <w:pPr>
              <w:spacing w:line="256" w:lineRule="auto"/>
              <w:rPr>
                <w:szCs w:val="24"/>
                <w:lang w:eastAsia="lt-LT"/>
              </w:rPr>
            </w:pPr>
            <w:r>
              <w:rPr>
                <w:szCs w:val="24"/>
                <w:lang w:eastAsia="lt-LT"/>
              </w:rPr>
              <w:t>Įgyvendintos programos plėtos neformaliojo suaugusiųjų švietimo paslaugas, pritaikant jas prie visuomenės ir darbo rinkos poreikių.</w:t>
            </w:r>
          </w:p>
          <w:p w14:paraId="05F268E8" w14:textId="77777777" w:rsidR="0098632F" w:rsidRDefault="0098632F">
            <w:pPr>
              <w:spacing w:line="256" w:lineRule="auto"/>
              <w:rPr>
                <w:szCs w:val="24"/>
                <w:lang w:eastAsia="lt-LT"/>
              </w:rPr>
            </w:pPr>
          </w:p>
        </w:tc>
        <w:tc>
          <w:tcPr>
            <w:tcW w:w="2977" w:type="dxa"/>
          </w:tcPr>
          <w:p w14:paraId="05F268E9" w14:textId="77777777" w:rsidR="0098632F" w:rsidRDefault="00E3742A">
            <w:pPr>
              <w:spacing w:line="256" w:lineRule="auto"/>
              <w:rPr>
                <w:szCs w:val="24"/>
                <w:lang w:eastAsia="lt-LT"/>
              </w:rPr>
            </w:pPr>
            <w:r>
              <w:rPr>
                <w:szCs w:val="24"/>
                <w:lang w:eastAsia="lt-LT"/>
              </w:rPr>
              <w:t>Neformalųjį suaugusiųjų švietimą ir tęstinį mokymą vykdančiosios institucijos.</w:t>
            </w:r>
          </w:p>
        </w:tc>
        <w:tc>
          <w:tcPr>
            <w:tcW w:w="1984" w:type="dxa"/>
          </w:tcPr>
          <w:p w14:paraId="05F268EA" w14:textId="77777777" w:rsidR="0098632F" w:rsidRDefault="00E3742A">
            <w:pPr>
              <w:spacing w:line="256" w:lineRule="auto"/>
              <w:rPr>
                <w:szCs w:val="24"/>
                <w:lang w:eastAsia="lt-LT"/>
              </w:rPr>
            </w:pPr>
            <w:r>
              <w:rPr>
                <w:szCs w:val="24"/>
                <w:lang w:eastAsia="lt-LT"/>
              </w:rPr>
              <w:t>2018 m., 2019 m., 2020 m.</w:t>
            </w:r>
          </w:p>
        </w:tc>
        <w:tc>
          <w:tcPr>
            <w:tcW w:w="851" w:type="dxa"/>
          </w:tcPr>
          <w:p w14:paraId="05F268EB" w14:textId="77777777" w:rsidR="0098632F" w:rsidRDefault="00E3742A">
            <w:pPr>
              <w:spacing w:line="256" w:lineRule="auto"/>
              <w:jc w:val="center"/>
              <w:rPr>
                <w:szCs w:val="24"/>
                <w:lang w:eastAsia="lt-LT"/>
              </w:rPr>
            </w:pPr>
            <w:r>
              <w:rPr>
                <w:szCs w:val="24"/>
                <w:lang w:eastAsia="lt-LT"/>
              </w:rPr>
              <w:t>5000</w:t>
            </w:r>
          </w:p>
        </w:tc>
        <w:tc>
          <w:tcPr>
            <w:tcW w:w="992" w:type="dxa"/>
          </w:tcPr>
          <w:p w14:paraId="05F268EC" w14:textId="77777777" w:rsidR="0098632F" w:rsidRDefault="00E3742A">
            <w:pPr>
              <w:spacing w:line="256" w:lineRule="auto"/>
              <w:jc w:val="center"/>
              <w:rPr>
                <w:szCs w:val="24"/>
                <w:lang w:eastAsia="lt-LT"/>
              </w:rPr>
            </w:pPr>
            <w:r>
              <w:rPr>
                <w:szCs w:val="24"/>
                <w:lang w:eastAsia="lt-LT"/>
              </w:rPr>
              <w:t>5000</w:t>
            </w:r>
          </w:p>
        </w:tc>
        <w:tc>
          <w:tcPr>
            <w:tcW w:w="850" w:type="dxa"/>
          </w:tcPr>
          <w:p w14:paraId="05F268ED" w14:textId="77777777" w:rsidR="0098632F" w:rsidRDefault="00E3742A">
            <w:pPr>
              <w:spacing w:line="256" w:lineRule="auto"/>
              <w:jc w:val="center"/>
              <w:rPr>
                <w:szCs w:val="24"/>
                <w:lang w:eastAsia="lt-LT"/>
              </w:rPr>
            </w:pPr>
            <w:r>
              <w:rPr>
                <w:szCs w:val="24"/>
                <w:lang w:eastAsia="lt-LT"/>
              </w:rPr>
              <w:t>5000</w:t>
            </w:r>
          </w:p>
        </w:tc>
        <w:tc>
          <w:tcPr>
            <w:tcW w:w="1276" w:type="dxa"/>
          </w:tcPr>
          <w:p w14:paraId="05F268EE" w14:textId="77777777" w:rsidR="0098632F" w:rsidRDefault="00E3742A">
            <w:pPr>
              <w:spacing w:line="256" w:lineRule="auto"/>
              <w:rPr>
                <w:szCs w:val="24"/>
                <w:lang w:eastAsia="lt-LT"/>
              </w:rPr>
            </w:pPr>
            <w:r>
              <w:rPr>
                <w:szCs w:val="24"/>
                <w:lang w:eastAsia="lt-LT"/>
              </w:rPr>
              <w:t>Savivaldybės biudžeto lėšos</w:t>
            </w:r>
          </w:p>
        </w:tc>
      </w:tr>
      <w:tr w:rsidR="0098632F" w14:paraId="05F268F2" w14:textId="77777777" w:rsidTr="00E3742A">
        <w:tc>
          <w:tcPr>
            <w:tcW w:w="14992" w:type="dxa"/>
            <w:gridSpan w:val="8"/>
            <w:hideMark/>
          </w:tcPr>
          <w:p w14:paraId="05F268F0" w14:textId="77777777" w:rsidR="0098632F" w:rsidRDefault="00E3742A">
            <w:pPr>
              <w:ind w:firstLine="851"/>
              <w:jc w:val="both"/>
              <w:rPr>
                <w:b/>
                <w:szCs w:val="24"/>
                <w:lang w:eastAsia="lt-LT"/>
              </w:rPr>
            </w:pPr>
            <w:r>
              <w:rPr>
                <w:b/>
                <w:szCs w:val="24"/>
                <w:lang w:eastAsia="lt-LT"/>
              </w:rPr>
              <w:t>3. UŽDAVINYS: DIDINTI INFORMACIJOS PRIEINAMUMĄ GYVENTOJAMS APIE NEFORMALIOJO SUAUGUSIŲJŲ ŠVIETIMO IR TĘSTINIO MOKYMOSI PASLAUGAS RADVILIŠKIO RAJONE.</w:t>
            </w:r>
          </w:p>
          <w:p w14:paraId="05F268F1" w14:textId="77777777" w:rsidR="0098632F" w:rsidRDefault="0098632F">
            <w:pPr>
              <w:spacing w:line="256" w:lineRule="auto"/>
              <w:ind w:firstLine="124"/>
              <w:rPr>
                <w:b/>
                <w:szCs w:val="24"/>
                <w:lang w:eastAsia="lt-LT"/>
              </w:rPr>
            </w:pPr>
          </w:p>
        </w:tc>
      </w:tr>
      <w:tr w:rsidR="0098632F" w14:paraId="05F268F4" w14:textId="77777777" w:rsidTr="00E3742A">
        <w:tc>
          <w:tcPr>
            <w:tcW w:w="14992" w:type="dxa"/>
            <w:gridSpan w:val="8"/>
          </w:tcPr>
          <w:p w14:paraId="05F268F3" w14:textId="77777777" w:rsidR="0098632F" w:rsidRDefault="00E3742A">
            <w:pPr>
              <w:spacing w:line="256" w:lineRule="auto"/>
              <w:rPr>
                <w:b/>
                <w:szCs w:val="24"/>
                <w:lang w:eastAsia="lt-LT"/>
              </w:rPr>
            </w:pPr>
            <w:r>
              <w:rPr>
                <w:b/>
                <w:szCs w:val="24"/>
                <w:lang w:eastAsia="lt-LT"/>
              </w:rPr>
              <w:t>3.1. priemonė.</w:t>
            </w:r>
            <w:r>
              <w:rPr>
                <w:szCs w:val="24"/>
                <w:lang w:eastAsia="lt-LT"/>
              </w:rPr>
              <w:t xml:space="preserve"> </w:t>
            </w:r>
            <w:r>
              <w:rPr>
                <w:b/>
                <w:szCs w:val="24"/>
                <w:lang w:eastAsia="lt-LT"/>
              </w:rPr>
              <w:t>Parengti informaciją apie</w:t>
            </w:r>
            <w:r>
              <w:rPr>
                <w:szCs w:val="24"/>
                <w:lang w:eastAsia="lt-LT"/>
              </w:rPr>
              <w:t xml:space="preserve"> </w:t>
            </w:r>
            <w:r>
              <w:rPr>
                <w:b/>
                <w:szCs w:val="24"/>
                <w:lang w:eastAsia="lt-LT"/>
              </w:rPr>
              <w:t>suaugusiųjų mokymosi galimybes Radviliškio rajono savivaldybėje ir  viešinti žiniasklaidos priemonėse</w:t>
            </w:r>
            <w:r>
              <w:rPr>
                <w:szCs w:val="24"/>
                <w:lang w:eastAsia="lt-LT"/>
              </w:rPr>
              <w:t>.</w:t>
            </w:r>
          </w:p>
        </w:tc>
      </w:tr>
      <w:tr w:rsidR="0098632F" w14:paraId="05F268FE" w14:textId="77777777" w:rsidTr="00E3742A">
        <w:tc>
          <w:tcPr>
            <w:tcW w:w="6062" w:type="dxa"/>
            <w:gridSpan w:val="2"/>
          </w:tcPr>
          <w:p w14:paraId="05F268F5" w14:textId="77777777" w:rsidR="0098632F" w:rsidRDefault="00E3742A">
            <w:pPr>
              <w:spacing w:line="256" w:lineRule="auto"/>
              <w:rPr>
                <w:szCs w:val="24"/>
                <w:lang w:eastAsia="lt-LT"/>
              </w:rPr>
            </w:pPr>
            <w:r>
              <w:rPr>
                <w:szCs w:val="24"/>
                <w:lang w:eastAsia="lt-LT"/>
              </w:rPr>
              <w:t>Parengta informacija sudarys sąlygas rajono gyventojams aktyviau dalyvauti neformaliojo suaugusiųjų švietimo ir tęstinio mokymosi teikėjų vykdomose programose.</w:t>
            </w:r>
          </w:p>
          <w:p w14:paraId="05F268F6" w14:textId="77777777" w:rsidR="0098632F" w:rsidRDefault="0098632F">
            <w:pPr>
              <w:spacing w:line="256" w:lineRule="auto"/>
              <w:rPr>
                <w:szCs w:val="24"/>
                <w:lang w:eastAsia="lt-LT"/>
              </w:rPr>
            </w:pPr>
          </w:p>
        </w:tc>
        <w:tc>
          <w:tcPr>
            <w:tcW w:w="2977" w:type="dxa"/>
          </w:tcPr>
          <w:p w14:paraId="05F268F7" w14:textId="77777777" w:rsidR="0098632F" w:rsidRDefault="00E3742A">
            <w:pPr>
              <w:spacing w:line="256" w:lineRule="auto"/>
              <w:rPr>
                <w:szCs w:val="24"/>
                <w:lang w:eastAsia="lt-LT"/>
              </w:rPr>
            </w:pPr>
            <w:r>
              <w:rPr>
                <w:szCs w:val="24"/>
                <w:lang w:eastAsia="lt-LT"/>
              </w:rPr>
              <w:t>Koordinatorius</w:t>
            </w:r>
          </w:p>
        </w:tc>
        <w:tc>
          <w:tcPr>
            <w:tcW w:w="1984" w:type="dxa"/>
          </w:tcPr>
          <w:p w14:paraId="05F268F8" w14:textId="77777777" w:rsidR="0098632F" w:rsidRDefault="00E3742A">
            <w:pPr>
              <w:spacing w:line="256" w:lineRule="auto"/>
              <w:jc w:val="both"/>
              <w:rPr>
                <w:szCs w:val="24"/>
                <w:lang w:eastAsia="lt-LT"/>
              </w:rPr>
            </w:pPr>
            <w:r>
              <w:rPr>
                <w:szCs w:val="24"/>
                <w:lang w:eastAsia="lt-LT"/>
              </w:rPr>
              <w:t>2018 m. III ketv.</w:t>
            </w:r>
          </w:p>
          <w:p w14:paraId="05F268F9" w14:textId="77777777" w:rsidR="0098632F" w:rsidRDefault="0098632F">
            <w:pPr>
              <w:spacing w:line="256" w:lineRule="auto"/>
              <w:rPr>
                <w:szCs w:val="24"/>
                <w:lang w:eastAsia="lt-LT"/>
              </w:rPr>
            </w:pPr>
          </w:p>
        </w:tc>
        <w:tc>
          <w:tcPr>
            <w:tcW w:w="851" w:type="dxa"/>
          </w:tcPr>
          <w:p w14:paraId="05F268FA" w14:textId="77777777" w:rsidR="0098632F" w:rsidRDefault="00E3742A">
            <w:pPr>
              <w:jc w:val="center"/>
              <w:rPr>
                <w:szCs w:val="24"/>
                <w:lang w:eastAsia="lt-LT"/>
              </w:rPr>
            </w:pPr>
            <w:r>
              <w:rPr>
                <w:szCs w:val="24"/>
                <w:lang w:eastAsia="lt-LT"/>
              </w:rPr>
              <w:t>-</w:t>
            </w:r>
          </w:p>
        </w:tc>
        <w:tc>
          <w:tcPr>
            <w:tcW w:w="992" w:type="dxa"/>
          </w:tcPr>
          <w:p w14:paraId="05F268FB" w14:textId="77777777" w:rsidR="0098632F" w:rsidRDefault="00E3742A">
            <w:pPr>
              <w:spacing w:line="256" w:lineRule="auto"/>
              <w:jc w:val="center"/>
              <w:rPr>
                <w:szCs w:val="24"/>
                <w:lang w:eastAsia="lt-LT"/>
              </w:rPr>
            </w:pPr>
            <w:r>
              <w:rPr>
                <w:szCs w:val="24"/>
                <w:lang w:eastAsia="lt-LT"/>
              </w:rPr>
              <w:t>-</w:t>
            </w:r>
          </w:p>
        </w:tc>
        <w:tc>
          <w:tcPr>
            <w:tcW w:w="850" w:type="dxa"/>
          </w:tcPr>
          <w:p w14:paraId="05F268FC" w14:textId="77777777" w:rsidR="0098632F" w:rsidRDefault="00E3742A">
            <w:pPr>
              <w:spacing w:line="256" w:lineRule="auto"/>
              <w:jc w:val="center"/>
              <w:rPr>
                <w:szCs w:val="24"/>
                <w:lang w:eastAsia="lt-LT"/>
              </w:rPr>
            </w:pPr>
            <w:r>
              <w:rPr>
                <w:szCs w:val="24"/>
                <w:lang w:eastAsia="lt-LT"/>
              </w:rPr>
              <w:t>-</w:t>
            </w:r>
          </w:p>
        </w:tc>
        <w:tc>
          <w:tcPr>
            <w:tcW w:w="1276" w:type="dxa"/>
          </w:tcPr>
          <w:p w14:paraId="05F268FD" w14:textId="77777777" w:rsidR="0098632F" w:rsidRDefault="00E3742A">
            <w:pPr>
              <w:spacing w:line="256" w:lineRule="auto"/>
              <w:jc w:val="center"/>
              <w:rPr>
                <w:szCs w:val="24"/>
                <w:lang w:eastAsia="lt-LT"/>
              </w:rPr>
            </w:pPr>
            <w:r>
              <w:rPr>
                <w:szCs w:val="24"/>
                <w:lang w:eastAsia="lt-LT"/>
              </w:rPr>
              <w:t>-</w:t>
            </w:r>
          </w:p>
        </w:tc>
      </w:tr>
      <w:tr w:rsidR="0098632F" w14:paraId="05F26900" w14:textId="77777777" w:rsidTr="00E3742A">
        <w:trPr>
          <w:trHeight w:val="286"/>
        </w:trPr>
        <w:tc>
          <w:tcPr>
            <w:tcW w:w="14992" w:type="dxa"/>
            <w:gridSpan w:val="8"/>
          </w:tcPr>
          <w:p w14:paraId="05F268FF" w14:textId="77777777" w:rsidR="0098632F" w:rsidRDefault="00E3742A">
            <w:pPr>
              <w:spacing w:line="256" w:lineRule="auto"/>
              <w:rPr>
                <w:b/>
                <w:szCs w:val="24"/>
                <w:lang w:eastAsia="lt-LT"/>
              </w:rPr>
            </w:pPr>
            <w:r>
              <w:rPr>
                <w:b/>
                <w:szCs w:val="24"/>
                <w:lang w:eastAsia="lt-LT"/>
              </w:rPr>
              <w:t>3.2. priemonė. Remti suaugusiųjų švietimo savaitės iniciatyvą.</w:t>
            </w:r>
          </w:p>
        </w:tc>
      </w:tr>
      <w:tr w:rsidR="0098632F" w14:paraId="05F26909" w14:textId="77777777" w:rsidTr="00E3742A">
        <w:tc>
          <w:tcPr>
            <w:tcW w:w="6062" w:type="dxa"/>
            <w:gridSpan w:val="2"/>
          </w:tcPr>
          <w:p w14:paraId="05F26901" w14:textId="77777777" w:rsidR="0098632F" w:rsidRDefault="00E3742A">
            <w:pPr>
              <w:spacing w:line="256" w:lineRule="auto"/>
              <w:rPr>
                <w:szCs w:val="24"/>
                <w:lang w:eastAsia="lt-LT"/>
              </w:rPr>
            </w:pPr>
            <w:r>
              <w:rPr>
                <w:szCs w:val="24"/>
                <w:lang w:eastAsia="lt-LT"/>
              </w:rPr>
              <w:t xml:space="preserve">Organizuoti įvairaus pobūdžio renginiai suaugusiesiems sudomins mažiau aktyvius rajono gyventojus dalyvauti </w:t>
            </w:r>
            <w:r>
              <w:rPr>
                <w:szCs w:val="24"/>
                <w:lang w:eastAsia="lt-LT"/>
              </w:rPr>
              <w:lastRenderedPageBreak/>
              <w:t>Mokymosi savaitės renginiuose ir tapti aktyviais besimokančios bendruomenės nariais.</w:t>
            </w:r>
          </w:p>
          <w:p w14:paraId="05F26902" w14:textId="77777777" w:rsidR="0098632F" w:rsidRDefault="0098632F">
            <w:pPr>
              <w:spacing w:line="256" w:lineRule="auto"/>
              <w:rPr>
                <w:szCs w:val="24"/>
                <w:lang w:eastAsia="lt-LT"/>
              </w:rPr>
            </w:pPr>
          </w:p>
        </w:tc>
        <w:tc>
          <w:tcPr>
            <w:tcW w:w="2977" w:type="dxa"/>
          </w:tcPr>
          <w:p w14:paraId="05F26903" w14:textId="77777777" w:rsidR="0098632F" w:rsidRDefault="00E3742A">
            <w:pPr>
              <w:spacing w:line="256" w:lineRule="auto"/>
              <w:rPr>
                <w:szCs w:val="24"/>
                <w:lang w:eastAsia="lt-LT"/>
              </w:rPr>
            </w:pPr>
            <w:r>
              <w:rPr>
                <w:szCs w:val="24"/>
                <w:lang w:eastAsia="lt-LT"/>
              </w:rPr>
              <w:lastRenderedPageBreak/>
              <w:t xml:space="preserve">Neformalųjį suaugusiųjų švietimą ir tęstinį mokymą </w:t>
            </w:r>
            <w:r>
              <w:rPr>
                <w:szCs w:val="24"/>
                <w:lang w:eastAsia="lt-LT"/>
              </w:rPr>
              <w:lastRenderedPageBreak/>
              <w:t>vykdančiosios institucijos.</w:t>
            </w:r>
          </w:p>
        </w:tc>
        <w:tc>
          <w:tcPr>
            <w:tcW w:w="1984" w:type="dxa"/>
          </w:tcPr>
          <w:p w14:paraId="05F26904" w14:textId="77777777" w:rsidR="0098632F" w:rsidRDefault="00E3742A">
            <w:pPr>
              <w:spacing w:line="256" w:lineRule="auto"/>
              <w:rPr>
                <w:szCs w:val="24"/>
                <w:lang w:eastAsia="lt-LT"/>
              </w:rPr>
            </w:pPr>
            <w:r>
              <w:rPr>
                <w:szCs w:val="24"/>
                <w:lang w:eastAsia="lt-LT"/>
              </w:rPr>
              <w:lastRenderedPageBreak/>
              <w:t>2018m., 2019 m., 2020 m.</w:t>
            </w:r>
          </w:p>
        </w:tc>
        <w:tc>
          <w:tcPr>
            <w:tcW w:w="851" w:type="dxa"/>
          </w:tcPr>
          <w:p w14:paraId="05F26905" w14:textId="77777777" w:rsidR="0098632F" w:rsidRDefault="00E3742A">
            <w:pPr>
              <w:spacing w:line="256" w:lineRule="auto"/>
              <w:jc w:val="center"/>
              <w:rPr>
                <w:szCs w:val="24"/>
                <w:lang w:eastAsia="lt-LT"/>
              </w:rPr>
            </w:pPr>
            <w:r>
              <w:rPr>
                <w:szCs w:val="24"/>
                <w:lang w:eastAsia="lt-LT"/>
              </w:rPr>
              <w:t>-</w:t>
            </w:r>
          </w:p>
        </w:tc>
        <w:tc>
          <w:tcPr>
            <w:tcW w:w="992" w:type="dxa"/>
          </w:tcPr>
          <w:p w14:paraId="05F26906" w14:textId="77777777" w:rsidR="0098632F" w:rsidRDefault="00E3742A">
            <w:pPr>
              <w:spacing w:line="256" w:lineRule="auto"/>
              <w:jc w:val="center"/>
              <w:rPr>
                <w:szCs w:val="24"/>
                <w:lang w:eastAsia="lt-LT"/>
              </w:rPr>
            </w:pPr>
            <w:r>
              <w:rPr>
                <w:szCs w:val="24"/>
                <w:lang w:eastAsia="lt-LT"/>
              </w:rPr>
              <w:t>-</w:t>
            </w:r>
          </w:p>
        </w:tc>
        <w:tc>
          <w:tcPr>
            <w:tcW w:w="850" w:type="dxa"/>
          </w:tcPr>
          <w:p w14:paraId="05F26907" w14:textId="77777777" w:rsidR="0098632F" w:rsidRDefault="00E3742A">
            <w:pPr>
              <w:spacing w:line="256" w:lineRule="auto"/>
              <w:jc w:val="center"/>
              <w:rPr>
                <w:szCs w:val="24"/>
                <w:lang w:eastAsia="lt-LT"/>
              </w:rPr>
            </w:pPr>
            <w:r>
              <w:rPr>
                <w:szCs w:val="24"/>
                <w:lang w:eastAsia="lt-LT"/>
              </w:rPr>
              <w:t>-</w:t>
            </w:r>
          </w:p>
        </w:tc>
        <w:tc>
          <w:tcPr>
            <w:tcW w:w="1276" w:type="dxa"/>
          </w:tcPr>
          <w:p w14:paraId="05F26908" w14:textId="77777777" w:rsidR="0098632F" w:rsidRDefault="00E3742A">
            <w:pPr>
              <w:spacing w:line="256" w:lineRule="auto"/>
              <w:jc w:val="center"/>
              <w:rPr>
                <w:szCs w:val="24"/>
                <w:lang w:eastAsia="lt-LT"/>
              </w:rPr>
            </w:pPr>
            <w:r>
              <w:rPr>
                <w:szCs w:val="24"/>
                <w:lang w:eastAsia="lt-LT"/>
              </w:rPr>
              <w:t>-</w:t>
            </w:r>
          </w:p>
        </w:tc>
      </w:tr>
    </w:tbl>
    <w:p w14:paraId="05F2690E" w14:textId="1A83EC9E" w:rsidR="0098632F" w:rsidRDefault="0098632F">
      <w:pPr>
        <w:jc w:val="both"/>
        <w:rPr>
          <w:szCs w:val="24"/>
          <w:lang w:eastAsia="lt-LT"/>
        </w:rPr>
      </w:pPr>
    </w:p>
    <w:sectPr w:rsidR="0098632F" w:rsidSect="00E3742A">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BACE6" w14:textId="77777777" w:rsidR="0006665E" w:rsidRDefault="0006665E" w:rsidP="00E3742A">
      <w:r>
        <w:separator/>
      </w:r>
    </w:p>
  </w:endnote>
  <w:endnote w:type="continuationSeparator" w:id="0">
    <w:p w14:paraId="3583CDA4" w14:textId="77777777" w:rsidR="0006665E" w:rsidRDefault="0006665E" w:rsidP="00E3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18AF" w14:textId="77777777" w:rsidR="00E3742A" w:rsidRDefault="00E3742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5C79" w14:textId="77777777" w:rsidR="00E3742A" w:rsidRDefault="00E3742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9AB8F" w14:textId="77777777" w:rsidR="00E3742A" w:rsidRDefault="00E374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E383" w14:textId="77777777" w:rsidR="0006665E" w:rsidRDefault="0006665E" w:rsidP="00E3742A">
      <w:r>
        <w:separator/>
      </w:r>
    </w:p>
  </w:footnote>
  <w:footnote w:type="continuationSeparator" w:id="0">
    <w:p w14:paraId="717CCD02" w14:textId="77777777" w:rsidR="0006665E" w:rsidRDefault="0006665E" w:rsidP="00E3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55A7" w14:textId="77777777" w:rsidR="00E3742A" w:rsidRDefault="00E3742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572228"/>
      <w:docPartObj>
        <w:docPartGallery w:val="Page Numbers (Top of Page)"/>
        <w:docPartUnique/>
      </w:docPartObj>
    </w:sdtPr>
    <w:sdtEndPr/>
    <w:sdtContent>
      <w:p w14:paraId="46DF4537" w14:textId="3B507DDE" w:rsidR="00E3742A" w:rsidRDefault="00E3742A">
        <w:pPr>
          <w:pStyle w:val="Antrats"/>
          <w:jc w:val="center"/>
        </w:pPr>
        <w:r>
          <w:fldChar w:fldCharType="begin"/>
        </w:r>
        <w:r>
          <w:instrText>PAGE   \* MERGEFORMAT</w:instrText>
        </w:r>
        <w:r>
          <w:fldChar w:fldCharType="separate"/>
        </w:r>
        <w:r w:rsidR="00E37C50">
          <w:rPr>
            <w:noProof/>
          </w:rPr>
          <w:t>2</w:t>
        </w:r>
        <w:r>
          <w:fldChar w:fldCharType="end"/>
        </w:r>
      </w:p>
    </w:sdtContent>
  </w:sdt>
  <w:p w14:paraId="14EB4DCC" w14:textId="77777777" w:rsidR="00E3742A" w:rsidRDefault="00E3742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8A71" w14:textId="77777777" w:rsidR="00E3742A" w:rsidRDefault="00E3742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3B"/>
    <w:rsid w:val="0006665E"/>
    <w:rsid w:val="001502A2"/>
    <w:rsid w:val="00161292"/>
    <w:rsid w:val="00204E3B"/>
    <w:rsid w:val="0098632F"/>
    <w:rsid w:val="00AA386E"/>
    <w:rsid w:val="00E3742A"/>
    <w:rsid w:val="00E37C50"/>
    <w:rsid w:val="00E607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26852"/>
  <w15:docId w15:val="{7753D2A2-55BA-4A0C-9C4D-7B647489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742A"/>
    <w:rPr>
      <w:color w:val="808080"/>
    </w:rPr>
  </w:style>
  <w:style w:type="paragraph" w:styleId="Antrats">
    <w:name w:val="header"/>
    <w:basedOn w:val="prastasis"/>
    <w:link w:val="AntratsDiagrama"/>
    <w:uiPriority w:val="99"/>
    <w:rsid w:val="00E3742A"/>
    <w:pPr>
      <w:tabs>
        <w:tab w:val="center" w:pos="4819"/>
        <w:tab w:val="right" w:pos="9638"/>
      </w:tabs>
    </w:pPr>
  </w:style>
  <w:style w:type="character" w:customStyle="1" w:styleId="AntratsDiagrama">
    <w:name w:val="Antraštės Diagrama"/>
    <w:basedOn w:val="Numatytasispastraiposriftas"/>
    <w:link w:val="Antrats"/>
    <w:uiPriority w:val="99"/>
    <w:rsid w:val="00E3742A"/>
  </w:style>
  <w:style w:type="paragraph" w:styleId="Porat">
    <w:name w:val="footer"/>
    <w:basedOn w:val="prastasis"/>
    <w:link w:val="PoratDiagrama"/>
    <w:rsid w:val="00E3742A"/>
    <w:pPr>
      <w:tabs>
        <w:tab w:val="center" w:pos="4819"/>
        <w:tab w:val="right" w:pos="9638"/>
      </w:tabs>
    </w:pPr>
  </w:style>
  <w:style w:type="character" w:customStyle="1" w:styleId="PoratDiagrama">
    <w:name w:val="Poraštė Diagrama"/>
    <w:basedOn w:val="Numatytasispastraiposriftas"/>
    <w:link w:val="Porat"/>
    <w:rsid w:val="00E3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66312">
      <w:bodyDiv w:val="1"/>
      <w:marLeft w:val="225"/>
      <w:marRight w:val="225"/>
      <w:marTop w:val="0"/>
      <w:marBottom w:val="0"/>
      <w:divBdr>
        <w:top w:val="none" w:sz="0" w:space="0" w:color="auto"/>
        <w:left w:val="none" w:sz="0" w:space="0" w:color="auto"/>
        <w:bottom w:val="none" w:sz="0" w:space="0" w:color="auto"/>
        <w:right w:val="none" w:sz="0" w:space="0" w:color="auto"/>
      </w:divBdr>
      <w:divsChild>
        <w:div w:id="1569725296">
          <w:marLeft w:val="0"/>
          <w:marRight w:val="0"/>
          <w:marTop w:val="0"/>
          <w:marBottom w:val="0"/>
          <w:divBdr>
            <w:top w:val="none" w:sz="0" w:space="0" w:color="auto"/>
            <w:left w:val="none" w:sz="0" w:space="0" w:color="auto"/>
            <w:bottom w:val="none" w:sz="0" w:space="0" w:color="auto"/>
            <w:right w:val="none" w:sz="0" w:space="0" w:color="auto"/>
          </w:divBdr>
        </w:div>
      </w:divsChild>
    </w:div>
    <w:div w:id="2044472839">
      <w:bodyDiv w:val="1"/>
      <w:marLeft w:val="225"/>
      <w:marRight w:val="225"/>
      <w:marTop w:val="0"/>
      <w:marBottom w:val="0"/>
      <w:divBdr>
        <w:top w:val="none" w:sz="0" w:space="0" w:color="auto"/>
        <w:left w:val="none" w:sz="0" w:space="0" w:color="auto"/>
        <w:bottom w:val="none" w:sz="0" w:space="0" w:color="auto"/>
        <w:right w:val="none" w:sz="0" w:space="0" w:color="auto"/>
      </w:divBdr>
      <w:divsChild>
        <w:div w:id="125805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Chemistry%20Add-in%20for%20Word\Chemistry%20Gallery\Chem4Word.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AFB3D08-2315-40A6-83FC-E955614E54C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3</Pages>
  <Words>2485</Words>
  <Characters>1417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Projektas</vt:lpstr>
    </vt:vector>
  </TitlesOfParts>
  <Company>Personal</Company>
  <LinksUpToDate>false</LinksUpToDate>
  <CharactersWithSpaces>3895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PC</dc:creator>
  <cp:lastModifiedBy>Egidijus Dailidonis</cp:lastModifiedBy>
  <cp:revision>3</cp:revision>
  <cp:lastPrinted>2018-04-18T11:12:00Z</cp:lastPrinted>
  <dcterms:created xsi:type="dcterms:W3CDTF">2018-06-12T13:36:00Z</dcterms:created>
  <dcterms:modified xsi:type="dcterms:W3CDTF">2018-06-12T13:55:00Z</dcterms:modified>
</cp:coreProperties>
</file>